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>Powiatowe Centrum Pomocy Rodzinie</w:t>
            </w:r>
            <w:r w:rsidR="00EC1689">
              <w:rPr>
                <w:rFonts w:ascii="Arial Narrow" w:hAnsi="Arial Narrow" w:cs="Arial"/>
                <w:sz w:val="22"/>
                <w:szCs w:val="22"/>
              </w:rPr>
              <w:t xml:space="preserve"> w</w:t>
            </w:r>
            <w:r w:rsidR="00C515E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C1689">
              <w:rPr>
                <w:rFonts w:ascii="Arial Narrow" w:hAnsi="Arial Narrow" w:cs="Arial"/>
                <w:sz w:val="22"/>
                <w:szCs w:val="22"/>
              </w:rPr>
              <w:t>Ż</w:t>
            </w:r>
            <w:r w:rsidR="00651750">
              <w:rPr>
                <w:rFonts w:ascii="Arial Narrow" w:hAnsi="Arial Narrow" w:cs="Arial"/>
                <w:sz w:val="22"/>
                <w:szCs w:val="22"/>
              </w:rPr>
              <w:t>aganiu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E766E5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4A5155">
        <w:trPr>
          <w:trHeight w:val="1516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65175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</w:t>
            </w:r>
            <w:r w:rsidR="00EC1689">
              <w:rPr>
                <w:rFonts w:ascii="Arial Narrow" w:hAnsi="Arial Narrow" w:cs="Arial"/>
                <w:b/>
                <w:sz w:val="22"/>
                <w:szCs w:val="22"/>
              </w:rPr>
              <w:t xml:space="preserve">w </w:t>
            </w:r>
            <w:r w:rsidR="00651750">
              <w:rPr>
                <w:rFonts w:ascii="Arial Narrow" w:hAnsi="Arial Narrow" w:cs="Arial"/>
                <w:b/>
                <w:sz w:val="22"/>
                <w:szCs w:val="22"/>
              </w:rPr>
              <w:t>Żaganiu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9E58B7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9E58B7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9E58B7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3A3D39">
        <w:tblPrEx>
          <w:tblCellMar>
            <w:left w:w="70" w:type="dxa"/>
            <w:right w:w="70" w:type="dxa"/>
          </w:tblCellMar>
        </w:tblPrEx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Default="001E4D0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37F4" w:rsidRPr="004E268E" w:rsidRDefault="009A37F4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Default="00C515E9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  <w:r w:rsidR="00B80877">
              <w:rPr>
                <w:rFonts w:ascii="Arial Narrow" w:hAnsi="Arial Narrow"/>
                <w:color w:val="000000"/>
                <w:sz w:val="22"/>
                <w:szCs w:val="22"/>
              </w:rPr>
              <w:t> 535 222,46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C515E9" w:rsidRDefault="00C515E9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C515E9" w:rsidRPr="004E268E" w:rsidRDefault="00B80877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380 283,37</w:t>
            </w:r>
            <w:r w:rsidR="00C515E9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9A2AA7" w:rsidRPr="004E268E" w:rsidRDefault="009A2AA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4E268E" w:rsidRDefault="001E4D07" w:rsidP="00A96DC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C515E9" w:rsidRDefault="00C515E9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515E9" w:rsidRDefault="00B80877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1 267 421,10</w:t>
            </w:r>
            <w:r w:rsidR="00C515E9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C515E9" w:rsidRDefault="00C515E9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w tym wkład własny:</w:t>
            </w:r>
          </w:p>
          <w:p w:rsidR="00C515E9" w:rsidRPr="004E268E" w:rsidRDefault="00B80877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190 113,16</w:t>
            </w:r>
            <w:r w:rsidR="00C515E9">
              <w:rPr>
                <w:rFonts w:ascii="Arial Narrow" w:hAnsi="Arial Narrow"/>
                <w:color w:val="000000"/>
                <w:sz w:val="22"/>
                <w:szCs w:val="22"/>
              </w:rPr>
              <w:t xml:space="preserve"> PLN</w:t>
            </w:r>
          </w:p>
          <w:p w:rsidR="001E4D07" w:rsidRPr="004E268E" w:rsidRDefault="001E4D07" w:rsidP="004E26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C515E9" w:rsidRDefault="00C515E9" w:rsidP="00C515E9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C515E9" w:rsidRDefault="00B80877" w:rsidP="00C515E9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3 802 643,56</w:t>
            </w:r>
            <w:r w:rsidR="00C515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C515E9" w:rsidRDefault="00C515E9" w:rsidP="00C515E9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 tym wkład własny:</w:t>
            </w:r>
          </w:p>
          <w:p w:rsidR="00C515E9" w:rsidRPr="004E268E" w:rsidRDefault="00B80877" w:rsidP="00C515E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570 396,53</w:t>
            </w:r>
            <w:r w:rsidR="00C515E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PLN</w:t>
            </w:r>
          </w:p>
          <w:p w:rsidR="001E4D07" w:rsidRPr="004E268E" w:rsidRDefault="001E4D07" w:rsidP="004E268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148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22</w:t>
            </w:r>
            <w:r w:rsidR="00B80877" w:rsidRPr="002922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89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13</w:t>
            </w:r>
            <w:r w:rsidR="00B80877" w:rsidRPr="002922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43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29225D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9225D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29225D" w:rsidRDefault="00B8087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29225D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29</w:t>
            </w:r>
            <w:r w:rsidR="00B80877" w:rsidRPr="002922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44</w:t>
            </w:r>
            <w:r w:rsidR="00B80877" w:rsidRPr="002922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29225D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5</w:t>
            </w:r>
            <w:r w:rsidR="00B80877" w:rsidRPr="002922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29225D" w:rsidRDefault="006F3513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29225D">
              <w:rPr>
                <w:rFonts w:ascii="Arial Narrow" w:hAnsi="Arial Narrow"/>
                <w:sz w:val="22"/>
                <w:szCs w:val="22"/>
              </w:rPr>
              <w:t>8</w:t>
            </w:r>
            <w:r w:rsidR="00B80877" w:rsidRPr="002922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09231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92316" w:rsidRPr="00092316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09231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92316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1A2" w:rsidRDefault="00C841A2">
      <w:r>
        <w:separator/>
      </w:r>
    </w:p>
  </w:endnote>
  <w:endnote w:type="continuationSeparator" w:id="1">
    <w:p w:rsidR="00C841A2" w:rsidRDefault="00C8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4F1D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4F1DEF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9225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1A2" w:rsidRDefault="00C841A2">
      <w:r>
        <w:separator/>
      </w:r>
    </w:p>
  </w:footnote>
  <w:footnote w:type="continuationSeparator" w:id="1">
    <w:p w:rsidR="00C841A2" w:rsidRDefault="00C841A2">
      <w:r>
        <w:continuationSeparator/>
      </w:r>
    </w:p>
  </w:footnote>
  <w:footnote w:id="2">
    <w:p w:rsidR="009E58B7" w:rsidRDefault="009E58B7" w:rsidP="009E58B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9E58B7" w:rsidRDefault="009E58B7" w:rsidP="009E58B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92316"/>
    <w:rsid w:val="00093A96"/>
    <w:rsid w:val="00094BB3"/>
    <w:rsid w:val="000960CD"/>
    <w:rsid w:val="000963BC"/>
    <w:rsid w:val="000A1ADD"/>
    <w:rsid w:val="000B014C"/>
    <w:rsid w:val="000B308F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0F74E4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57B6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56EB4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44D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25D"/>
    <w:rsid w:val="00292E14"/>
    <w:rsid w:val="00294035"/>
    <w:rsid w:val="00295047"/>
    <w:rsid w:val="00295352"/>
    <w:rsid w:val="002955D4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D065B"/>
    <w:rsid w:val="002D196D"/>
    <w:rsid w:val="002D1C34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3D39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49E2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5155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3FBB"/>
    <w:rsid w:val="004C467D"/>
    <w:rsid w:val="004C5743"/>
    <w:rsid w:val="004C6E7B"/>
    <w:rsid w:val="004D018C"/>
    <w:rsid w:val="004D0478"/>
    <w:rsid w:val="004D186C"/>
    <w:rsid w:val="004D6BE0"/>
    <w:rsid w:val="004E268E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1DEF"/>
    <w:rsid w:val="004F226A"/>
    <w:rsid w:val="004F6077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0A5A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1750"/>
    <w:rsid w:val="00653704"/>
    <w:rsid w:val="00653ACF"/>
    <w:rsid w:val="006565D0"/>
    <w:rsid w:val="006575F4"/>
    <w:rsid w:val="00660AAE"/>
    <w:rsid w:val="006637A6"/>
    <w:rsid w:val="00663E7B"/>
    <w:rsid w:val="00664D14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AAE"/>
    <w:rsid w:val="00687B50"/>
    <w:rsid w:val="00690653"/>
    <w:rsid w:val="00692523"/>
    <w:rsid w:val="00695A1D"/>
    <w:rsid w:val="00695A20"/>
    <w:rsid w:val="00695B59"/>
    <w:rsid w:val="006A365E"/>
    <w:rsid w:val="006A3C9C"/>
    <w:rsid w:val="006A6B6A"/>
    <w:rsid w:val="006A6C09"/>
    <w:rsid w:val="006A7BAD"/>
    <w:rsid w:val="006B079B"/>
    <w:rsid w:val="006B1FF9"/>
    <w:rsid w:val="006B4D46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3513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548E"/>
    <w:rsid w:val="007475EA"/>
    <w:rsid w:val="00751549"/>
    <w:rsid w:val="0075255C"/>
    <w:rsid w:val="00753B22"/>
    <w:rsid w:val="007542E7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26D"/>
    <w:rsid w:val="007B6322"/>
    <w:rsid w:val="007C1385"/>
    <w:rsid w:val="007C2EBA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7061"/>
    <w:rsid w:val="00810D3C"/>
    <w:rsid w:val="00816DDB"/>
    <w:rsid w:val="0081768B"/>
    <w:rsid w:val="00820A7C"/>
    <w:rsid w:val="00821158"/>
    <w:rsid w:val="00822214"/>
    <w:rsid w:val="00822777"/>
    <w:rsid w:val="00823FCA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6F63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D7671"/>
    <w:rsid w:val="008E0C5F"/>
    <w:rsid w:val="008E273D"/>
    <w:rsid w:val="008E3D85"/>
    <w:rsid w:val="008E6340"/>
    <w:rsid w:val="008F21B5"/>
    <w:rsid w:val="008F22A3"/>
    <w:rsid w:val="008F2411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37F4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3503"/>
    <w:rsid w:val="009E4461"/>
    <w:rsid w:val="009E575A"/>
    <w:rsid w:val="009E58B7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52CD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554C"/>
    <w:rsid w:val="00AF7496"/>
    <w:rsid w:val="00B00A75"/>
    <w:rsid w:val="00B059E7"/>
    <w:rsid w:val="00B07B27"/>
    <w:rsid w:val="00B13C71"/>
    <w:rsid w:val="00B147D0"/>
    <w:rsid w:val="00B14CA0"/>
    <w:rsid w:val="00B163E9"/>
    <w:rsid w:val="00B207F2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16AC"/>
    <w:rsid w:val="00B72C64"/>
    <w:rsid w:val="00B80443"/>
    <w:rsid w:val="00B80575"/>
    <w:rsid w:val="00B80877"/>
    <w:rsid w:val="00B85448"/>
    <w:rsid w:val="00B86C65"/>
    <w:rsid w:val="00B90277"/>
    <w:rsid w:val="00B91B48"/>
    <w:rsid w:val="00B9279D"/>
    <w:rsid w:val="00B92F7E"/>
    <w:rsid w:val="00B9322F"/>
    <w:rsid w:val="00BA03EE"/>
    <w:rsid w:val="00BA2186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3EB1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15E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1A2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1C18"/>
    <w:rsid w:val="00D8454C"/>
    <w:rsid w:val="00D846B1"/>
    <w:rsid w:val="00D84F70"/>
    <w:rsid w:val="00D85273"/>
    <w:rsid w:val="00D8600E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3048"/>
    <w:rsid w:val="00E108E3"/>
    <w:rsid w:val="00E17404"/>
    <w:rsid w:val="00E20CED"/>
    <w:rsid w:val="00E211BA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766E5"/>
    <w:rsid w:val="00E84DC4"/>
    <w:rsid w:val="00E85799"/>
    <w:rsid w:val="00E865C6"/>
    <w:rsid w:val="00E9040C"/>
    <w:rsid w:val="00E904F4"/>
    <w:rsid w:val="00E92D38"/>
    <w:rsid w:val="00E95312"/>
    <w:rsid w:val="00E95EAA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284A"/>
    <w:rsid w:val="00EB37DD"/>
    <w:rsid w:val="00EB392F"/>
    <w:rsid w:val="00EB3F14"/>
    <w:rsid w:val="00EB4F51"/>
    <w:rsid w:val="00EB51F8"/>
    <w:rsid w:val="00EB564B"/>
    <w:rsid w:val="00EB6779"/>
    <w:rsid w:val="00EC0683"/>
    <w:rsid w:val="00EC0932"/>
    <w:rsid w:val="00EC09D3"/>
    <w:rsid w:val="00EC1689"/>
    <w:rsid w:val="00EC1F63"/>
    <w:rsid w:val="00EC2CFE"/>
    <w:rsid w:val="00EC2F30"/>
    <w:rsid w:val="00EC3E67"/>
    <w:rsid w:val="00EC65E1"/>
    <w:rsid w:val="00ED0F69"/>
    <w:rsid w:val="00EE07D0"/>
    <w:rsid w:val="00EE1483"/>
    <w:rsid w:val="00EE3D04"/>
    <w:rsid w:val="00EE4EC2"/>
    <w:rsid w:val="00EE7789"/>
    <w:rsid w:val="00EF0156"/>
    <w:rsid w:val="00EF0932"/>
    <w:rsid w:val="00EF3705"/>
    <w:rsid w:val="00F02A0C"/>
    <w:rsid w:val="00F1454E"/>
    <w:rsid w:val="00F15540"/>
    <w:rsid w:val="00F15A3A"/>
    <w:rsid w:val="00F15E05"/>
    <w:rsid w:val="00F20F22"/>
    <w:rsid w:val="00F20F48"/>
    <w:rsid w:val="00F21B78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C09"/>
    <w:rsid w:val="00F90E34"/>
    <w:rsid w:val="00F91F07"/>
    <w:rsid w:val="00FA15B2"/>
    <w:rsid w:val="00FA22BF"/>
    <w:rsid w:val="00FA2852"/>
    <w:rsid w:val="00FA2D84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33C1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9E5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60B5-E68B-41A0-BA2C-828E6AEE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11482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14</cp:revision>
  <cp:lastPrinted>2015-04-28T12:15:00Z</cp:lastPrinted>
  <dcterms:created xsi:type="dcterms:W3CDTF">2015-10-08T09:56:00Z</dcterms:created>
  <dcterms:modified xsi:type="dcterms:W3CDTF">2015-12-21T11:10:00Z</dcterms:modified>
</cp:coreProperties>
</file>