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967B" w14:textId="7914E1BA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ZARZ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Ą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 WOJEWÓDZTWA LUBUSKIEGO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 siedzibą w Zielonej Górze</w:t>
      </w:r>
    </w:p>
    <w:p w14:paraId="61E4F593" w14:textId="77777777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ul. Podgórna 7, 65-057 Zielona Góra</w:t>
      </w:r>
    </w:p>
    <w:p w14:paraId="59BDFD4A" w14:textId="21E043AF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OGŁASZA KONKURS</w:t>
      </w:r>
      <w:r w:rsidR="00AB41A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NA DOFINANSOWANIE BONÓW NA INNOWACJĘ</w:t>
      </w:r>
    </w:p>
    <w:p w14:paraId="28F418DE" w14:textId="52B331D7" w:rsidR="00AB41AA" w:rsidRPr="00AB41AA" w:rsidRDefault="003C3C12" w:rsidP="00AB4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 ramach</w:t>
      </w:r>
      <w:r w:rsidR="00AB41A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projektu </w:t>
      </w:r>
    </w:p>
    <w:p w14:paraId="16660599" w14:textId="77777777" w:rsidR="00AB41AA" w:rsidRDefault="00AB41AA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Wsparcie systemu lubuskich innowacji, </w:t>
      </w:r>
    </w:p>
    <w:p w14:paraId="0196F008" w14:textId="376AC721" w:rsidR="003C3C12" w:rsidRPr="003C3C12" w:rsidRDefault="00AB41AA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realizowanego w ramach</w:t>
      </w:r>
      <w:r w:rsidR="003C3C12"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Regionalnego Programu Operacyjnego – Lubuskie 2020</w:t>
      </w:r>
    </w:p>
    <w:p w14:paraId="16831FAD" w14:textId="77777777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Osi Priorytetowej 1 </w:t>
      </w:r>
      <w:r w:rsidRPr="003C3C1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Gospodarka i innowacje</w:t>
      </w:r>
    </w:p>
    <w:p w14:paraId="5180CFC3" w14:textId="1B53F57F" w:rsidR="003C3C12" w:rsidRPr="003C3C12" w:rsidRDefault="003C3C12" w:rsidP="00AB4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dla Działania</w:t>
      </w:r>
      <w:r w:rsidR="00AB41A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1.2 Rozwój przedsiębiorczości</w:t>
      </w:r>
    </w:p>
    <w:p w14:paraId="6C14D17D" w14:textId="77777777" w:rsidR="008D2247" w:rsidRDefault="008D2247" w:rsidP="008D2247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</w:pPr>
    </w:p>
    <w:p w14:paraId="3A6FA391" w14:textId="69692491" w:rsidR="003C3C12" w:rsidRPr="008D2247" w:rsidRDefault="003C3C12" w:rsidP="008D2247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</w:pPr>
      <w:r w:rsidRPr="008D2247"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  <w:t>Informacje o naborze</w:t>
      </w:r>
    </w:p>
    <w:p w14:paraId="67E2C2BF" w14:textId="77777777" w:rsidR="003C3C12" w:rsidRPr="003C3C12" w:rsidRDefault="003C3C12" w:rsidP="008D2247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Termin składania wniosków</w:t>
      </w:r>
    </w:p>
    <w:p w14:paraId="7885AD74" w14:textId="46B4AFB5" w:rsidR="003C3C12" w:rsidRPr="003C3C12" w:rsidRDefault="003C3C12" w:rsidP="003C3C1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Nabór wniosków o dofinansowanie rozpocznie się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0A3F6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30 grudnia 2022 r.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zakończy się </w:t>
      </w:r>
      <w:r w:rsidR="00E767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31 stycznia 2023 r.</w:t>
      </w:r>
    </w:p>
    <w:p w14:paraId="3B5C2EC1" w14:textId="77777777" w:rsidR="003C3C12" w:rsidRPr="003C3C12" w:rsidRDefault="003C3C12" w:rsidP="003C3C12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Termin rozstrzygnięcia konkursu</w:t>
      </w:r>
    </w:p>
    <w:p w14:paraId="5A7A8671" w14:textId="78A2A07B" w:rsidR="003C3C12" w:rsidRPr="003C3C12" w:rsidRDefault="003C3C12" w:rsidP="003C3C1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Orientacyjny termin rozstrzygnięcia konkursu: </w:t>
      </w:r>
      <w:r w:rsidR="000A3F6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marzec 2023 r.</w:t>
      </w:r>
    </w:p>
    <w:p w14:paraId="29847F35" w14:textId="77777777" w:rsidR="003C3C12" w:rsidRPr="003C3C12" w:rsidRDefault="003C3C12" w:rsidP="003C3C12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Miejsce składania wniosków</w:t>
      </w:r>
    </w:p>
    <w:p w14:paraId="5B10EC25" w14:textId="6BF8D7B7" w:rsidR="003C3C12" w:rsidRPr="003C3C12" w:rsidRDefault="003C3C12" w:rsidP="005673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Wniosek w wersji papierowej wraz z wymaganą dokumentacją należy składać od</w:t>
      </w:r>
      <w:r w:rsidR="005673A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poniedziałku do piątku w godzinach pracy Urzędu tj.</w:t>
      </w:r>
    </w:p>
    <w:p w14:paraId="334023C1" w14:textId="77777777" w:rsidR="003C3C12" w:rsidRPr="003C3C12" w:rsidRDefault="003C3C12" w:rsidP="003C3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poniedziałek: od 8:00 do 16:00</w:t>
      </w:r>
    </w:p>
    <w:p w14:paraId="3EA87490" w14:textId="77777777" w:rsidR="003C3C12" w:rsidRPr="003C3C12" w:rsidRDefault="003C3C12" w:rsidP="003C3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wtorek – piątek: od 7:30 do 15:30</w:t>
      </w:r>
    </w:p>
    <w:p w14:paraId="5F8C7CCC" w14:textId="7777777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Punkcie Przyjęć wniosków, tj.:</w:t>
      </w:r>
    </w:p>
    <w:p w14:paraId="2B9C78B3" w14:textId="77777777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Urzędzie Marszałkowskim Województwa Lubuskiego</w:t>
      </w:r>
    </w:p>
    <w:p w14:paraId="5627BE95" w14:textId="77777777" w:rsidR="005673AB" w:rsidRPr="003C3C12" w:rsidRDefault="005673AB" w:rsidP="005673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kancelaria ogólna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)</w:t>
      </w:r>
    </w:p>
    <w:p w14:paraId="244A4493" w14:textId="7199AC59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ul.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Podgórna 7</w:t>
      </w:r>
    </w:p>
    <w:p w14:paraId="50358D60" w14:textId="675DD89B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65-0</w:t>
      </w:r>
      <w:r w:rsidR="005673A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57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Zielona Góra</w:t>
      </w:r>
    </w:p>
    <w:p w14:paraId="33761209" w14:textId="7777777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lub w:</w:t>
      </w:r>
    </w:p>
    <w:p w14:paraId="539EB085" w14:textId="77777777" w:rsid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Wydziale Zamiejscowym Urzędu Marszałkowskiego Województwa Lubuskiego</w:t>
      </w:r>
    </w:p>
    <w:p w14:paraId="2EF9F181" w14:textId="45B2A526" w:rsidR="005673AB" w:rsidRPr="003C3C12" w:rsidRDefault="005673AB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(sekretariat)</w:t>
      </w:r>
    </w:p>
    <w:p w14:paraId="09E6C293" w14:textId="77777777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ul. Ignacego Mościckiego 6</w:t>
      </w:r>
    </w:p>
    <w:p w14:paraId="74C33639" w14:textId="7099DAAE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66-400 Gorzów Wlkp.</w:t>
      </w:r>
    </w:p>
    <w:p w14:paraId="00042B16" w14:textId="77777777" w:rsidR="003C3C12" w:rsidRPr="003C3C12" w:rsidRDefault="003C3C12" w:rsidP="003C3C1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 </w:t>
      </w:r>
    </w:p>
    <w:p w14:paraId="3AF5A091" w14:textId="460164F2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Wniosek w formie papierowej może być dostarczony do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UMWL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:</w:t>
      </w:r>
    </w:p>
    <w:p w14:paraId="7C1DAFA4" w14:textId="77777777" w:rsidR="003C3C12" w:rsidRPr="003C3C12" w:rsidRDefault="003C3C12" w:rsidP="003C3C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pocztą w zaklejonej kopercie lub paczce,</w:t>
      </w:r>
    </w:p>
    <w:p w14:paraId="19E833E5" w14:textId="77777777" w:rsidR="003C3C12" w:rsidRPr="003C3C12" w:rsidRDefault="003C3C12" w:rsidP="003C3C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przesyłką kurierską,</w:t>
      </w:r>
    </w:p>
    <w:p w14:paraId="7C1BA1D8" w14:textId="77777777" w:rsidR="003C3C12" w:rsidRPr="003C3C12" w:rsidRDefault="003C3C12" w:rsidP="003C3C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osobiście.</w:t>
      </w:r>
    </w:p>
    <w:p w14:paraId="4B1CCA83" w14:textId="77777777" w:rsidR="003C3C12" w:rsidRPr="003C3C12" w:rsidRDefault="003C3C12" w:rsidP="003C3C12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Sposób składania wniosków</w:t>
      </w:r>
    </w:p>
    <w:p w14:paraId="2A91E4EC" w14:textId="74C45733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Wzór wniosku o dofinansowanie projektu jest określony przez </w:t>
      </w:r>
      <w:r w:rsidR="00415CB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Operatora bonów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jest zamieszczony na stronie </w:t>
      </w:r>
      <w:hyperlink r:id="rId5" w:history="1">
        <w:r w:rsidR="00091FEC" w:rsidRPr="00F26F14">
          <w:rPr>
            <w:rStyle w:val="Hipercze"/>
            <w:rFonts w:ascii="Arial" w:hAnsi="Arial" w:cs="Arial"/>
            <w:sz w:val="24"/>
            <w:szCs w:val="24"/>
          </w:rPr>
          <w:t>www.innowacje.lubuskie.pl</w:t>
        </w:r>
      </w:hyperlink>
      <w:r w:rsidR="00091FEC">
        <w:rPr>
          <w:rFonts w:ascii="Arial" w:hAnsi="Arial" w:cs="Arial"/>
          <w:sz w:val="24"/>
          <w:szCs w:val="24"/>
        </w:rPr>
        <w:t xml:space="preserve"> </w:t>
      </w:r>
      <w:r w:rsidR="00D144F1">
        <w:rPr>
          <w:rFonts w:ascii="Arial" w:hAnsi="Arial" w:cs="Arial"/>
          <w:sz w:val="24"/>
          <w:szCs w:val="24"/>
        </w:rPr>
        <w:t xml:space="preserve">oraz </w:t>
      </w:r>
      <w:hyperlink r:id="rId6" w:history="1">
        <w:r w:rsidR="00D144F1" w:rsidRPr="00054318">
          <w:rPr>
            <w:rStyle w:val="Hipercze"/>
            <w:rFonts w:ascii="Arial" w:hAnsi="Arial" w:cs="Arial"/>
            <w:sz w:val="24"/>
            <w:szCs w:val="24"/>
          </w:rPr>
          <w:t>www.lubuskie.pl</w:t>
        </w:r>
      </w:hyperlink>
      <w:r w:rsidR="00D144F1">
        <w:rPr>
          <w:rFonts w:ascii="Arial" w:hAnsi="Arial" w:cs="Arial"/>
          <w:sz w:val="24"/>
          <w:szCs w:val="24"/>
        </w:rPr>
        <w:t xml:space="preserve"> </w:t>
      </w:r>
      <w:r w:rsidR="00F82A3C">
        <w:rPr>
          <w:rFonts w:ascii="Arial" w:hAnsi="Arial" w:cs="Arial"/>
          <w:sz w:val="24"/>
          <w:szCs w:val="24"/>
        </w:rPr>
        <w:t>(</w:t>
      </w:r>
      <w:r w:rsidR="00D144F1">
        <w:rPr>
          <w:rFonts w:ascii="Arial" w:hAnsi="Arial" w:cs="Arial"/>
          <w:sz w:val="24"/>
          <w:szCs w:val="24"/>
        </w:rPr>
        <w:t xml:space="preserve">w zakładce </w:t>
      </w:r>
      <w:hyperlink r:id="rId7" w:history="1">
        <w:r w:rsidR="00D144F1" w:rsidRPr="00D144F1">
          <w:rPr>
            <w:rStyle w:val="Hipercze"/>
            <w:rFonts w:ascii="Arial" w:hAnsi="Arial" w:cs="Arial"/>
            <w:sz w:val="24"/>
            <w:szCs w:val="24"/>
          </w:rPr>
          <w:t>Dla mieszkańca/Rozwój regionu</w:t>
        </w:r>
      </w:hyperlink>
      <w:r w:rsidR="00F82A3C">
        <w:rPr>
          <w:rStyle w:val="Hipercze"/>
          <w:rFonts w:ascii="Arial" w:hAnsi="Arial" w:cs="Arial"/>
          <w:sz w:val="24"/>
          <w:szCs w:val="24"/>
        </w:rPr>
        <w:t>)</w:t>
      </w:r>
    </w:p>
    <w:p w14:paraId="6168FB4E" w14:textId="1586F4EA" w:rsidR="003C3C12" w:rsidRPr="003C3C12" w:rsidRDefault="003C3C12" w:rsidP="003C3C1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Datą wpływu wniosku o dofinansowanie realizacji projektu jest dzień dostarczenia go do </w:t>
      </w:r>
      <w:r w:rsidR="00D144F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siedziby UMWL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lub w przypadku dostarczenia wniosku pocztą – data nadania w polskiej placówce pocztowej operatora wyznaczonego w rozumieniu ustawy z dnia 23 listopada 2012 r. – Prawo pocztowe (tj. Dz. U. 2020 r., poz. 1041).</w:t>
      </w:r>
    </w:p>
    <w:p w14:paraId="137DD307" w14:textId="77777777" w:rsidR="003C3C12" w:rsidRPr="008D2247" w:rsidRDefault="003C3C12" w:rsidP="003C3C12">
      <w:pPr>
        <w:shd w:val="clear" w:color="auto" w:fill="FFFFFF"/>
        <w:spacing w:before="150" w:after="525" w:line="600" w:lineRule="atLeast"/>
        <w:outlineLvl w:val="1"/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</w:pPr>
      <w:r w:rsidRPr="008D2247"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  <w:t>Na co i kto może składać wnioski?</w:t>
      </w:r>
    </w:p>
    <w:p w14:paraId="5D157867" w14:textId="77777777" w:rsidR="003C3C12" w:rsidRPr="003C3C12" w:rsidRDefault="003C3C12" w:rsidP="008D2247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Kto może składać wnioski?</w:t>
      </w:r>
    </w:p>
    <w:p w14:paraId="1BB8DE7D" w14:textId="2818D824" w:rsidR="003C3C12" w:rsidRPr="003C3C12" w:rsidRDefault="003C3C12" w:rsidP="003C3C1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Uprawnione do aplikowania w konkursie są </w:t>
      </w:r>
      <w:r w:rsidR="00F82A3C" w:rsidRPr="002B271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mikro</w:t>
      </w:r>
      <w:r w:rsidR="002B2710" w:rsidRPr="002B271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,</w:t>
      </w:r>
      <w:r w:rsidR="00F82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D144F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małe i średnie przedsiębiorstwa z terenu województwa lubuskiego (działające na terenie województwa lubuskiego oraz posiadające siedzibę na terenie województwa lubuskiego)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14:paraId="1E3C1770" w14:textId="77777777" w:rsidR="003C3C12" w:rsidRPr="003C3C12" w:rsidRDefault="003C3C12" w:rsidP="003C3C12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Na co można otrzymać dofinansowanie?</w:t>
      </w:r>
    </w:p>
    <w:p w14:paraId="025BD5BE" w14:textId="1B48AB90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Przedmiotem konkursu jest </w:t>
      </w:r>
      <w:r w:rsidR="00AB4AD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udzielenie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grantów, w formule bonów na innowacje, na realizację usługi służącej osiągnięciu celu tego projektu przez grantobiorców (MŚP).</w:t>
      </w:r>
    </w:p>
    <w:p w14:paraId="18239A64" w14:textId="64FD0958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Wsparcie na rzecz MŚP udzielane jest w formule 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projektu grantowego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w rozumieniu art. 35 ustawy z dnia 11 lipca 2014 r. o zasadach realizacji programów w zakresie polityki spójności finansowanych w perspektywie finansowej 2014-2020 (tj. Dz. U. z 2020 r., poz. 818 z późn. zm.). </w:t>
      </w:r>
    </w:p>
    <w:p w14:paraId="28E6A2EF" w14:textId="7777777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Regionalny bon na innowacje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może być udzielany na pokrycie kosztów usługi obejmującej doradztwo w zakresie prowadzenia przedsiębiorstwa na terytorium Unii Europejskiej, w tym analizy marketingowe, analizy finansowo – ekonomiczne, opracowanie i wdrożenie strategii rozwoju przedsiębiorstwa w oparciu o nowe technologie lub innowacyjne rozwiązania.</w:t>
      </w:r>
    </w:p>
    <w:p w14:paraId="33056292" w14:textId="7777777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ramach następujących kategorii interwencji:</w:t>
      </w:r>
    </w:p>
    <w:p w14:paraId="45CB0419" w14:textId="77777777" w:rsidR="003C3C12" w:rsidRPr="003C3C12" w:rsidRDefault="003C3C12" w:rsidP="003C3C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66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Zaawansowane usługi wsparcia dla MŚP i grup MŚP (w tym usługi w zakresie zarządzania, marketingu i projektowania).</w:t>
      </w:r>
    </w:p>
    <w:p w14:paraId="186916D0" w14:textId="7777777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129CFA57" w14:textId="7777777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Wnioskodawca może złożyć w ramach konkursu tylko 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jeden wniosek o dofinansowanie.</w:t>
      </w:r>
    </w:p>
    <w:p w14:paraId="4C3036F9" w14:textId="77777777" w:rsidR="003C3C12" w:rsidRPr="003C3C12" w:rsidRDefault="003C3C12" w:rsidP="003C3C12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Kryteria wyboru projektów</w:t>
      </w:r>
    </w:p>
    <w:p w14:paraId="3BA5FA5B" w14:textId="0E5638D5" w:rsidR="003C3C12" w:rsidRPr="003C3C12" w:rsidRDefault="003C3C12" w:rsidP="007C4B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Wybór projektów do dofinansowania odbywa się w oparciu o kryteria formalne i merytoryczne </w:t>
      </w:r>
      <w:r w:rsidR="007C4BF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zawarte w </w:t>
      </w:r>
      <w:r w:rsidR="00091FE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Procedurach udzielania grantów</w:t>
      </w:r>
      <w:r w:rsidR="007C4BF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 zostały zamieszczone na stronie internetowej </w:t>
      </w:r>
      <w:hyperlink r:id="rId8" w:history="1">
        <w:r w:rsidR="00091FEC" w:rsidRPr="00F26F14">
          <w:rPr>
            <w:rStyle w:val="Hipercze"/>
            <w:rFonts w:ascii="Arial" w:hAnsi="Arial" w:cs="Arial"/>
            <w:sz w:val="24"/>
            <w:szCs w:val="24"/>
          </w:rPr>
          <w:t>www.innowacje.lubuskie.pl</w:t>
        </w:r>
      </w:hyperlink>
      <w:r w:rsidR="00091FEC">
        <w:rPr>
          <w:rFonts w:ascii="Arial" w:hAnsi="Arial" w:cs="Arial"/>
          <w:sz w:val="24"/>
          <w:szCs w:val="24"/>
        </w:rPr>
        <w:t xml:space="preserve"> </w:t>
      </w:r>
      <w:r w:rsidR="00C407EE">
        <w:rPr>
          <w:rFonts w:ascii="Arial" w:hAnsi="Arial" w:cs="Arial"/>
          <w:sz w:val="24"/>
          <w:szCs w:val="24"/>
        </w:rPr>
        <w:t xml:space="preserve">oraz </w:t>
      </w:r>
      <w:hyperlink r:id="rId9" w:history="1">
        <w:r w:rsidR="00C407EE" w:rsidRPr="00054318">
          <w:rPr>
            <w:rStyle w:val="Hipercze"/>
            <w:rFonts w:ascii="Arial" w:hAnsi="Arial" w:cs="Arial"/>
            <w:sz w:val="24"/>
            <w:szCs w:val="24"/>
          </w:rPr>
          <w:t>www.lubuskie.pl</w:t>
        </w:r>
      </w:hyperlink>
      <w:r w:rsidR="00C407EE">
        <w:rPr>
          <w:rFonts w:ascii="Arial" w:hAnsi="Arial" w:cs="Arial"/>
          <w:sz w:val="24"/>
          <w:szCs w:val="24"/>
        </w:rPr>
        <w:t xml:space="preserve"> </w:t>
      </w:r>
      <w:r w:rsidR="00F82A3C">
        <w:rPr>
          <w:rFonts w:ascii="Arial" w:hAnsi="Arial" w:cs="Arial"/>
          <w:sz w:val="24"/>
          <w:szCs w:val="24"/>
        </w:rPr>
        <w:t>(</w:t>
      </w:r>
      <w:r w:rsidR="00C407EE">
        <w:rPr>
          <w:rFonts w:ascii="Arial" w:hAnsi="Arial" w:cs="Arial"/>
          <w:sz w:val="24"/>
          <w:szCs w:val="24"/>
        </w:rPr>
        <w:t xml:space="preserve">w zakładce </w:t>
      </w:r>
      <w:hyperlink r:id="rId10" w:history="1">
        <w:r w:rsidR="00C407EE" w:rsidRPr="00D144F1">
          <w:rPr>
            <w:rStyle w:val="Hipercze"/>
            <w:rFonts w:ascii="Arial" w:hAnsi="Arial" w:cs="Arial"/>
            <w:sz w:val="24"/>
            <w:szCs w:val="24"/>
          </w:rPr>
          <w:t>Dla mieszkańca/Rozwój regionu</w:t>
        </w:r>
      </w:hyperlink>
      <w:r w:rsidR="00F82A3C">
        <w:rPr>
          <w:rStyle w:val="Hipercze"/>
          <w:rFonts w:ascii="Arial" w:hAnsi="Arial" w:cs="Arial"/>
          <w:sz w:val="24"/>
          <w:szCs w:val="24"/>
        </w:rPr>
        <w:t>)</w:t>
      </w:r>
    </w:p>
    <w:p w14:paraId="698255F0" w14:textId="77777777" w:rsidR="003C3C12" w:rsidRPr="008D2247" w:rsidRDefault="003C3C12" w:rsidP="003C3C12">
      <w:pPr>
        <w:shd w:val="clear" w:color="auto" w:fill="FFFFFF"/>
        <w:spacing w:before="150" w:after="525" w:line="600" w:lineRule="atLeast"/>
        <w:outlineLvl w:val="1"/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</w:pPr>
      <w:r w:rsidRPr="008D2247"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  <w:t>Finanse</w:t>
      </w:r>
    </w:p>
    <w:p w14:paraId="4827D312" w14:textId="77777777" w:rsidR="003C3C12" w:rsidRPr="003C3C12" w:rsidRDefault="003C3C12" w:rsidP="008D2247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Maksymalna wartość dofinansowania</w:t>
      </w:r>
    </w:p>
    <w:p w14:paraId="3AD92F2F" w14:textId="47444D96" w:rsid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Maksymalny poziom dofinansowania kosztów kwalifikowalnych 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projektu wynosi </w:t>
      </w:r>
      <w:r w:rsidR="0067074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85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% 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 pochodzi ze środków Europejskiego Funduszu Rozwoju Regionalnego (EFRR), z zastrzeżeniem zapisów Regulaminu </w:t>
      </w:r>
      <w:r w:rsidR="0044755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onkursu.</w:t>
      </w:r>
    </w:p>
    <w:p w14:paraId="22614564" w14:textId="06B4C8FD" w:rsidR="00447550" w:rsidRPr="003C3C12" w:rsidRDefault="00DD057A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64083">
        <w:rPr>
          <w:rFonts w:ascii="Arial" w:hAnsi="Arial" w:cs="Arial"/>
          <w:sz w:val="24"/>
          <w:szCs w:val="24"/>
        </w:rPr>
        <w:t>C</w:t>
      </w:r>
      <w:r w:rsidR="00447550" w:rsidRPr="00C64083">
        <w:rPr>
          <w:rFonts w:ascii="Arial" w:hAnsi="Arial" w:cs="Arial"/>
          <w:sz w:val="24"/>
          <w:szCs w:val="24"/>
        </w:rPr>
        <w:t>ałkowita alokacja w konkurs</w:t>
      </w:r>
      <w:r w:rsidRPr="00C64083">
        <w:rPr>
          <w:rFonts w:ascii="Arial" w:hAnsi="Arial" w:cs="Arial"/>
          <w:sz w:val="24"/>
          <w:szCs w:val="24"/>
        </w:rPr>
        <w:t>ie</w:t>
      </w:r>
      <w:r w:rsidR="00447550" w:rsidRPr="00C64083">
        <w:rPr>
          <w:rFonts w:ascii="Arial" w:hAnsi="Arial" w:cs="Arial"/>
          <w:sz w:val="24"/>
          <w:szCs w:val="24"/>
        </w:rPr>
        <w:t xml:space="preserve"> wynosi: </w:t>
      </w:r>
      <w:r>
        <w:rPr>
          <w:rFonts w:ascii="Arial" w:hAnsi="Arial" w:cs="Arial"/>
          <w:sz w:val="24"/>
          <w:szCs w:val="24"/>
        </w:rPr>
        <w:t>1 000 000 zł</w:t>
      </w:r>
      <w:r w:rsidR="00EC03B8">
        <w:rPr>
          <w:rFonts w:ascii="Arial" w:hAnsi="Arial" w:cs="Arial"/>
          <w:sz w:val="24"/>
          <w:szCs w:val="24"/>
        </w:rPr>
        <w:t xml:space="preserve"> (w tym wartość dofinansowania wynosi 850 000 zł).</w:t>
      </w:r>
    </w:p>
    <w:p w14:paraId="59A7A35F" w14:textId="7A2C7F8D" w:rsidR="0067074A" w:rsidRPr="0067074A" w:rsidRDefault="0067074A" w:rsidP="0067074A">
      <w:pPr>
        <w:shd w:val="clear" w:color="auto" w:fill="FFFFFF"/>
        <w:spacing w:after="0" w:line="0" w:lineRule="atLeast"/>
        <w:jc w:val="both"/>
        <w:outlineLvl w:val="2"/>
        <w:rPr>
          <w:rFonts w:ascii="Arial" w:hAnsi="Arial" w:cs="Arial"/>
          <w:sz w:val="24"/>
          <w:szCs w:val="24"/>
        </w:rPr>
      </w:pPr>
      <w:r w:rsidRPr="0067074A">
        <w:rPr>
          <w:rFonts w:ascii="Arial" w:hAnsi="Arial" w:cs="Arial"/>
          <w:sz w:val="24"/>
          <w:szCs w:val="24"/>
        </w:rPr>
        <w:t xml:space="preserve">Grantobiorca może uzyskać dofinansowanie w postaci bonu na innowacje w kwocie </w:t>
      </w:r>
      <w:r w:rsidR="00DC7A53">
        <w:rPr>
          <w:rFonts w:ascii="Arial" w:hAnsi="Arial" w:cs="Arial"/>
          <w:sz w:val="24"/>
          <w:szCs w:val="24"/>
        </w:rPr>
        <w:t>do</w:t>
      </w:r>
      <w:r w:rsidR="005673AB">
        <w:rPr>
          <w:rFonts w:ascii="Arial" w:hAnsi="Arial" w:cs="Arial"/>
          <w:sz w:val="24"/>
          <w:szCs w:val="24"/>
        </w:rPr>
        <w:t> </w:t>
      </w:r>
      <w:r w:rsidRPr="0067074A">
        <w:rPr>
          <w:rFonts w:ascii="Arial" w:hAnsi="Arial" w:cs="Arial"/>
          <w:sz w:val="24"/>
          <w:szCs w:val="24"/>
        </w:rPr>
        <w:t>85.000,00 zł, tj. 85 % wysokości grantu. Kwota ta została określona zgodnie z zapisami regulaminu, jak również w oparciu o rozeznanie w zakresie usług doradczych objętych grantami. Różnica pomiędzy wysokością grantu a wartością bonu - w wysokości min. 50% lub 15% wartości grantu - zapewniona zostanie przez Grantobiorcę i stanowi wkład własny do</w:t>
      </w:r>
      <w:r w:rsidR="005673AB">
        <w:rPr>
          <w:rFonts w:ascii="Arial" w:hAnsi="Arial" w:cs="Arial"/>
          <w:sz w:val="24"/>
          <w:szCs w:val="24"/>
        </w:rPr>
        <w:t> </w:t>
      </w:r>
      <w:r w:rsidRPr="0067074A">
        <w:rPr>
          <w:rFonts w:ascii="Arial" w:hAnsi="Arial" w:cs="Arial"/>
          <w:sz w:val="24"/>
          <w:szCs w:val="24"/>
        </w:rPr>
        <w:t>projektu.</w:t>
      </w:r>
    </w:p>
    <w:p w14:paraId="40FFA6C7" w14:textId="77777777" w:rsidR="0067074A" w:rsidRDefault="0067074A" w:rsidP="0067074A">
      <w:pPr>
        <w:shd w:val="clear" w:color="auto" w:fill="FFFFFF"/>
        <w:spacing w:after="0" w:line="0" w:lineRule="atLeast"/>
        <w:outlineLvl w:val="2"/>
        <w:rPr>
          <w:rFonts w:ascii="Arial" w:hAnsi="Arial" w:cs="Arial"/>
        </w:rPr>
      </w:pPr>
    </w:p>
    <w:p w14:paraId="00445729" w14:textId="0F33603C" w:rsidR="003C3C12" w:rsidRPr="003C3C12" w:rsidRDefault="003C3C12" w:rsidP="0067074A">
      <w:pPr>
        <w:shd w:val="clear" w:color="auto" w:fill="FFFFFF"/>
        <w:spacing w:after="0" w:line="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Maksymalna wartość kosztów kwalifikowanych projektu</w:t>
      </w:r>
    </w:p>
    <w:p w14:paraId="58D07923" w14:textId="1553037A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Maksymalna wartość wydatków kwalifikowalnych 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projektu wynosi </w:t>
      </w:r>
      <w:r w:rsidR="00DC7A5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</w:t>
      </w:r>
      <w:r w:rsidR="0044755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100 000,00 zł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50C42B3A" w14:textId="1823E666" w:rsidR="003C3C12" w:rsidRPr="003C3C12" w:rsidRDefault="003C3C12" w:rsidP="003C3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0BB2D6F" w14:textId="77777777" w:rsidR="003C3C12" w:rsidRPr="003C3C12" w:rsidRDefault="00195C19" w:rsidP="003C3C1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pict w14:anchorId="52DB198A">
          <v:rect id="_x0000_i1025" style="width:155.2pt;height:.75pt" o:hrpct="330" o:hrstd="t" o:hr="t" fillcolor="#a0a0a0" stroked="f"/>
        </w:pict>
      </w:r>
    </w:p>
    <w:bookmarkStart w:id="0" w:name="_ftn1"/>
    <w:p w14:paraId="77CABB3C" w14:textId="10E4E6DC" w:rsidR="003C3C12" w:rsidRPr="003C3C12" w:rsidRDefault="003C3C12" w:rsidP="003C3C12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fldChar w:fldCharType="begin"/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instrText xml:space="preserve"> HYPERLINK "https://rpo.lubuskie.pl/-/ogloszenie-konkursu-nr-rplb-01-02-00-iz-00-08-k02-21-w-ramach-regionalnego-programu-operacyjnego-lubuskie-2020-osi-priorytetowej-1-gospodarka-i-innowa" \l "_ftnref1" \o "" </w:instrTex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fldChar w:fldCharType="separate"/>
      </w:r>
      <w:r w:rsidRPr="003C3C12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>[1]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fldChar w:fldCharType="end"/>
      </w:r>
      <w:bookmarkEnd w:id="0"/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 ramach RPO Lubuskie 2020 nie można wspierać dużych projektów, o których mowa w</w:t>
      </w:r>
      <w:r w:rsidR="005673A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100 Rozporządzenia Parlamentu Europejskiego i Rady (UE) nr 1303/2013 z dnia 17 grudnia 2013 r.</w:t>
      </w:r>
    </w:p>
    <w:p w14:paraId="3D8D2677" w14:textId="77777777" w:rsidR="003C3C12" w:rsidRPr="003C3C12" w:rsidRDefault="003C3C12" w:rsidP="003C3C12">
      <w:pPr>
        <w:shd w:val="clear" w:color="auto" w:fill="FFFFFF"/>
        <w:spacing w:before="150" w:after="525" w:line="600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Niezbędne dokumenty</w:t>
      </w:r>
    </w:p>
    <w:p w14:paraId="6B0976FF" w14:textId="77777777" w:rsidR="003C3C12" w:rsidRPr="003C3C12" w:rsidRDefault="003C3C12" w:rsidP="003C3C12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Niezbędne dokumenty</w:t>
      </w:r>
    </w:p>
    <w:p w14:paraId="02C08A06" w14:textId="55FF67DB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Załączniki: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2F7BA747" w14:textId="42402AC7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5CD10E2" w14:textId="5351F620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>Ogłoszenie</w:t>
      </w:r>
    </w:p>
    <w:p w14:paraId="170D8087" w14:textId="63FB128C" w:rsidR="003C3C12" w:rsidRPr="003C3C12" w:rsidRDefault="00F224B1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>Regulamin konkursu bonu na innowacje</w:t>
      </w:r>
    </w:p>
    <w:p w14:paraId="7C086706" w14:textId="4B6B09D9" w:rsidR="003C3C12" w:rsidRPr="003C3C12" w:rsidRDefault="008D2247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>Załączniki</w:t>
      </w:r>
      <w:r w:rsidR="003C3C12" w:rsidRPr="003C3C12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 xml:space="preserve"> do </w:t>
      </w:r>
      <w:r w:rsidR="003261AE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>Regulaminu</w:t>
      </w:r>
    </w:p>
    <w:p w14:paraId="6CC52761" w14:textId="05D6DF6D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lastRenderedPageBreak/>
        <w:t>Akty prawne, wytyczne i inne dokumenty</w:t>
      </w:r>
    </w:p>
    <w:p w14:paraId="6284B7A9" w14:textId="2CDABEE9" w:rsidR="003C3C12" w:rsidRPr="003C3C12" w:rsidRDefault="003C3C12" w:rsidP="003C3C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1256BB"/>
          <w:sz w:val="24"/>
          <w:szCs w:val="24"/>
          <w:u w:val="single"/>
          <w:lang w:eastAsia="pl-PL"/>
        </w:rPr>
        <w:t>Dokumenty strategiczne i branżowe</w:t>
      </w:r>
    </w:p>
    <w:p w14:paraId="1886BF50" w14:textId="77777777" w:rsidR="003C3C12" w:rsidRPr="003C3C12" w:rsidRDefault="003C3C12" w:rsidP="003C3C1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04662FA4" w14:textId="77777777" w:rsidR="003C3C12" w:rsidRPr="008D2247" w:rsidRDefault="003C3C12" w:rsidP="003C3C12">
      <w:pPr>
        <w:shd w:val="clear" w:color="auto" w:fill="FFFFFF"/>
        <w:spacing w:before="150" w:after="525" w:line="600" w:lineRule="atLeast"/>
        <w:outlineLvl w:val="1"/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</w:pPr>
      <w:r w:rsidRPr="008D2247">
        <w:rPr>
          <w:rFonts w:ascii="Arial" w:eastAsia="Times New Roman" w:hAnsi="Arial" w:cs="Arial"/>
          <w:b/>
          <w:bCs/>
          <w:color w:val="333333"/>
          <w:sz w:val="28"/>
          <w:szCs w:val="24"/>
          <w:lang w:eastAsia="pl-PL"/>
        </w:rPr>
        <w:t>Inne ważne informacje</w:t>
      </w:r>
    </w:p>
    <w:p w14:paraId="5F3E564E" w14:textId="1E4DDC31" w:rsidR="003C3C12" w:rsidRPr="003C3C12" w:rsidRDefault="003C3C12" w:rsidP="008D2247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Pytan</w:t>
      </w:r>
      <w:r w:rsidR="0098039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</w:t>
      </w:r>
      <w:r w:rsidRPr="003C3C1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 i odpowiedzi</w:t>
      </w:r>
    </w:p>
    <w:p w14:paraId="7581E339" w14:textId="7D70DC4B" w:rsidR="003C3C12" w:rsidRPr="003C3C12" w:rsidRDefault="00AB41AA" w:rsidP="008D2247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Departament Rozwoju i Innowacji</w:t>
      </w:r>
      <w:r w:rsidR="003C3C12"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udziela wszystkim zainteresowanym informacji w zakresie konkursu, w tym w sprawie interpretacji zapisów Regulaminu konkursu</w:t>
      </w:r>
      <w:r w:rsidR="00F224B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bonu na innowacje</w:t>
      </w:r>
      <w:r w:rsidR="003C3C12"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zakresu wsparcia, procesu wyboru projektów, kwalifikowalności kosztów. Informacje na temat postępowania konkursowego można uzyskać osobiście (pod warunkiem, że Urząd będzie otwarty dla</w:t>
      </w:r>
      <w:r w:rsid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3C3C12"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interesantów, co jest uzależnione od aktualnej sytuacji epidemicznej), mailowo lub</w:t>
      </w:r>
      <w:r w:rsid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3C3C12"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telefonicznie poprzez kontakt z pracownikami Urzędu Marszałkowskiego Województwa Lubuskiego w Zielonej Górze:</w:t>
      </w:r>
    </w:p>
    <w:p w14:paraId="12F6E956" w14:textId="39B6EB01" w:rsidR="003C3C12" w:rsidRPr="008D2247" w:rsidRDefault="003C3C12" w:rsidP="008D22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709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Departament </w:t>
      </w:r>
      <w:r w:rsidR="00AB41A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Rozwoju i Innowacji, Wydział Wsparcia Przedsiębiorczości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ul. Bolesława Chrobrego 1-3-5 (pokoje nr </w:t>
      </w:r>
      <w:r w:rsidR="00AB41A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C.1.10, C.1.9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AB41A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Zielona Góra</w:t>
      </w:r>
      <w:r w:rsidRPr="003C3C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tel. 68 45 65</w:t>
      </w:r>
      <w:r w:rsidR="00F82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AB41AA" w:rsidRP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757</w:t>
      </w:r>
      <w:r w:rsidRP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AB41AA" w:rsidRPr="008D224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487</w:t>
      </w:r>
      <w:r w:rsidR="00F82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198, 260</w:t>
      </w:r>
      <w:r w:rsidR="0057335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11A93CA0" w14:textId="77777777" w:rsidR="006309A8" w:rsidRPr="003C3C12" w:rsidRDefault="006309A8">
      <w:pPr>
        <w:rPr>
          <w:rFonts w:ascii="Arial" w:hAnsi="Arial" w:cs="Arial"/>
          <w:sz w:val="24"/>
          <w:szCs w:val="24"/>
        </w:rPr>
      </w:pPr>
    </w:p>
    <w:sectPr w:rsidR="006309A8" w:rsidRPr="003C3C12" w:rsidSect="00C47A42">
      <w:pgSz w:w="11910" w:h="16840"/>
      <w:pgMar w:top="1380" w:right="960" w:bottom="1420" w:left="980" w:header="352" w:footer="123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97E"/>
    <w:multiLevelType w:val="multilevel"/>
    <w:tmpl w:val="778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6EEA"/>
    <w:multiLevelType w:val="multilevel"/>
    <w:tmpl w:val="A91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D467A"/>
    <w:multiLevelType w:val="multilevel"/>
    <w:tmpl w:val="002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93222"/>
    <w:multiLevelType w:val="multilevel"/>
    <w:tmpl w:val="199C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C2C79"/>
    <w:multiLevelType w:val="multilevel"/>
    <w:tmpl w:val="91D0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17FC0"/>
    <w:multiLevelType w:val="multilevel"/>
    <w:tmpl w:val="96B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64ED"/>
    <w:multiLevelType w:val="multilevel"/>
    <w:tmpl w:val="692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A0848"/>
    <w:multiLevelType w:val="multilevel"/>
    <w:tmpl w:val="BB0E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F3717"/>
    <w:multiLevelType w:val="multilevel"/>
    <w:tmpl w:val="4742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51EC7"/>
    <w:multiLevelType w:val="multilevel"/>
    <w:tmpl w:val="DB0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233076">
    <w:abstractNumId w:val="3"/>
  </w:num>
  <w:num w:numId="2" w16cid:durableId="955990482">
    <w:abstractNumId w:val="0"/>
  </w:num>
  <w:num w:numId="3" w16cid:durableId="479346906">
    <w:abstractNumId w:val="1"/>
  </w:num>
  <w:num w:numId="4" w16cid:durableId="861632789">
    <w:abstractNumId w:val="2"/>
  </w:num>
  <w:num w:numId="5" w16cid:durableId="1911114904">
    <w:abstractNumId w:val="7"/>
  </w:num>
  <w:num w:numId="6" w16cid:durableId="979267476">
    <w:abstractNumId w:val="6"/>
  </w:num>
  <w:num w:numId="7" w16cid:durableId="1591893931">
    <w:abstractNumId w:val="5"/>
  </w:num>
  <w:num w:numId="8" w16cid:durableId="684942098">
    <w:abstractNumId w:val="8"/>
  </w:num>
  <w:num w:numId="9" w16cid:durableId="1420060607">
    <w:abstractNumId w:val="9"/>
  </w:num>
  <w:num w:numId="10" w16cid:durableId="113151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12"/>
    <w:rsid w:val="00042EDA"/>
    <w:rsid w:val="00091FEC"/>
    <w:rsid w:val="000A3F66"/>
    <w:rsid w:val="00195C19"/>
    <w:rsid w:val="002B2710"/>
    <w:rsid w:val="003261AE"/>
    <w:rsid w:val="003C3C12"/>
    <w:rsid w:val="00415CB2"/>
    <w:rsid w:val="00447550"/>
    <w:rsid w:val="00497560"/>
    <w:rsid w:val="005673AB"/>
    <w:rsid w:val="00573356"/>
    <w:rsid w:val="006309A8"/>
    <w:rsid w:val="00665D38"/>
    <w:rsid w:val="0067074A"/>
    <w:rsid w:val="007C4BF0"/>
    <w:rsid w:val="008D2247"/>
    <w:rsid w:val="00980393"/>
    <w:rsid w:val="00992B73"/>
    <w:rsid w:val="00AB41AA"/>
    <w:rsid w:val="00AB4AD0"/>
    <w:rsid w:val="00B71959"/>
    <w:rsid w:val="00C407EE"/>
    <w:rsid w:val="00C47A42"/>
    <w:rsid w:val="00C64083"/>
    <w:rsid w:val="00CA5B71"/>
    <w:rsid w:val="00D0146D"/>
    <w:rsid w:val="00D144F1"/>
    <w:rsid w:val="00DC7A53"/>
    <w:rsid w:val="00DD057A"/>
    <w:rsid w:val="00DF5059"/>
    <w:rsid w:val="00E7674A"/>
    <w:rsid w:val="00EC03B8"/>
    <w:rsid w:val="00EF7D89"/>
    <w:rsid w:val="00F224B1"/>
    <w:rsid w:val="00F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47E3FB"/>
  <w15:chartTrackingRefBased/>
  <w15:docId w15:val="{D99CDFAA-F8EA-45AC-B07D-E17A61C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C3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3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3C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C3C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3C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3C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C3C1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44F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3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3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3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A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F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2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58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414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34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0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86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67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84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55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197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03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60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720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wacje.lubu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buskie.pl/wiadomosci/kategoria/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us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nowacje.lubuskie.pl" TargetMode="External"/><Relationship Id="rId10" Type="http://schemas.openxmlformats.org/officeDocument/2006/relationships/hyperlink" Target="https://lubuskie.pl/wiadomosci/kategoria/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bu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Hładki Paweł</cp:lastModifiedBy>
  <cp:revision>9</cp:revision>
  <dcterms:created xsi:type="dcterms:W3CDTF">2022-09-20T08:04:00Z</dcterms:created>
  <dcterms:modified xsi:type="dcterms:W3CDTF">2022-12-20T10:33:00Z</dcterms:modified>
</cp:coreProperties>
</file>